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A3" w:rsidRPr="00F13981" w:rsidRDefault="004678A3" w:rsidP="004678A3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F13981">
        <w:rPr>
          <w:rFonts w:ascii="Arial" w:hAnsi="Arial" w:cs="Arial"/>
          <w:b/>
          <w:sz w:val="22"/>
          <w:szCs w:val="22"/>
          <w:u w:val="single"/>
          <w:lang w:val="en-GB"/>
        </w:rPr>
        <w:t>APPENDIX No. 1</w:t>
      </w:r>
    </w:p>
    <w:p w:rsidR="004678A3" w:rsidRDefault="004678A3" w:rsidP="004678A3">
      <w:pPr>
        <w:jc w:val="center"/>
        <w:outlineLvl w:val="0"/>
        <w:rPr>
          <w:rFonts w:ascii="Arial" w:hAnsi="Arial" w:cs="Arial"/>
          <w:b/>
          <w:i/>
          <w:u w:val="single"/>
          <w:lang w:val="en-GB"/>
        </w:rPr>
      </w:pPr>
    </w:p>
    <w:p w:rsidR="004678A3" w:rsidRDefault="004678A3" w:rsidP="004678A3">
      <w:pPr>
        <w:jc w:val="center"/>
        <w:outlineLvl w:val="0"/>
        <w:rPr>
          <w:rFonts w:ascii="Arial" w:hAnsi="Arial" w:cs="Arial"/>
          <w:b/>
          <w:i/>
          <w:u w:val="single"/>
          <w:lang w:val="en-GB"/>
        </w:rPr>
      </w:pPr>
    </w:p>
    <w:p w:rsidR="004678A3" w:rsidRPr="00AB2280" w:rsidRDefault="004678A3" w:rsidP="004678A3">
      <w:pPr>
        <w:jc w:val="center"/>
        <w:outlineLvl w:val="0"/>
        <w:rPr>
          <w:rFonts w:ascii="Arial" w:hAnsi="Arial" w:cs="Arial"/>
          <w:b/>
          <w:i/>
          <w:u w:val="single"/>
          <w:lang w:val="en-GB"/>
        </w:rPr>
      </w:pPr>
      <w:r>
        <w:rPr>
          <w:rFonts w:ascii="Arial" w:hAnsi="Arial" w:cs="Arial"/>
          <w:b/>
          <w:i/>
          <w:u w:val="single"/>
          <w:lang w:val="en-GB"/>
        </w:rPr>
        <w:t xml:space="preserve">MODEL FOR THE FINANCIAL BID OFFER AND REFFERENCES THE ASSESSMENT WHEREOF DEPENDS ON AUTOMATIC FORMULAE </w:t>
      </w:r>
    </w:p>
    <w:p w:rsidR="004678A3" w:rsidRDefault="004678A3" w:rsidP="004678A3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782249" w:rsidRDefault="00782249" w:rsidP="004678A3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4678A3" w:rsidRDefault="004678A3" w:rsidP="004678A3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4678A3" w:rsidRDefault="004678A3" w:rsidP="004678A3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Mr / Ms .............................. whose address is No. ................, ............................................................................... street, from company..............................................., the Tax Identity No. whereof is....................................., having been informed of the invitation to tender and the conditions and requirements for</w:t>
      </w:r>
      <w:r w:rsidR="0023359D">
        <w:rPr>
          <w:rFonts w:ascii="Arial" w:hAnsi="Arial" w:cs="Arial"/>
          <w:i/>
          <w:sz w:val="22"/>
          <w:szCs w:val="22"/>
          <w:lang w:val="en-GB"/>
        </w:rPr>
        <w:t xml:space="preserve"> the award of the “LICI 2021-004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F16BD5">
        <w:rPr>
          <w:rFonts w:ascii="Arial" w:hAnsi="Arial" w:cs="Arial"/>
          <w:i/>
          <w:sz w:val="22"/>
          <w:szCs w:val="22"/>
          <w:lang w:val="en-GB"/>
        </w:rPr>
        <w:t>CONSUMABLES AND REAGENTS (SIMOA EQUIPMENT)</w:t>
      </w:r>
      <w:r>
        <w:rPr>
          <w:rFonts w:ascii="Arial" w:hAnsi="Arial" w:cs="Arial"/>
          <w:i/>
          <w:sz w:val="22"/>
          <w:szCs w:val="22"/>
          <w:lang w:val="en-GB"/>
        </w:rPr>
        <w:t xml:space="preserve">”, hereby undertakes (in his or her own name or on behalf of the company he or she represents) to carry them out strictly subject to the conditions below:  </w:t>
      </w:r>
    </w:p>
    <w:p w:rsidR="004678A3" w:rsidRDefault="004678A3" w:rsidP="004678A3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4678A3" w:rsidRDefault="004678A3" w:rsidP="004678A3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782249" w:rsidRDefault="00782249" w:rsidP="004678A3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782249" w:rsidRDefault="00782249" w:rsidP="00782249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Financial bid offer:</w:t>
      </w:r>
    </w:p>
    <w:p w:rsidR="00782249" w:rsidRDefault="00782249" w:rsidP="00782249">
      <w:pPr>
        <w:pStyle w:val="Sangradetextonormal"/>
        <w:textAlignment w:val="auto"/>
        <w:rPr>
          <w:rFonts w:ascii="Arial" w:hAnsi="Arial" w:cs="Arial"/>
          <w:i/>
          <w:sz w:val="22"/>
          <w:szCs w:val="22"/>
          <w:lang w:val="en-GB"/>
        </w:rPr>
      </w:pPr>
    </w:p>
    <w:p w:rsidR="00782249" w:rsidRPr="009D04CD" w:rsidRDefault="00782249" w:rsidP="00782249">
      <w:pPr>
        <w:pStyle w:val="Sangradetextonormal"/>
        <w:textAlignment w:val="auto"/>
        <w:rPr>
          <w:rFonts w:ascii="Arial" w:hAnsi="Arial" w:cs="Arial"/>
          <w:i/>
          <w:sz w:val="22"/>
          <w:szCs w:val="22"/>
          <w:lang w:val="en-GB"/>
        </w:rPr>
      </w:pPr>
    </w:p>
    <w:tbl>
      <w:tblPr>
        <w:tblpPr w:leftFromText="141" w:rightFromText="141" w:vertAnchor="text" w:horzAnchor="margin" w:tblpXSpec="center" w:tblpY="6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993"/>
        <w:gridCol w:w="1275"/>
        <w:gridCol w:w="1134"/>
        <w:gridCol w:w="1276"/>
        <w:gridCol w:w="1271"/>
      </w:tblGrid>
      <w:tr w:rsidR="00782249" w:rsidRPr="002B699D" w:rsidTr="00782249">
        <w:trPr>
          <w:trHeight w:val="614"/>
        </w:trPr>
        <w:tc>
          <w:tcPr>
            <w:tcW w:w="4252" w:type="dxa"/>
            <w:shd w:val="clear" w:color="000000" w:fill="D0CECE"/>
            <w:vAlign w:val="center"/>
            <w:hideMark/>
          </w:tcPr>
          <w:p w:rsidR="00782249" w:rsidRPr="00420119" w:rsidRDefault="00782249" w:rsidP="007822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</w:pPr>
            <w:r w:rsidRPr="00F16BD5"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  <w:t>CONCEPT</w:t>
            </w:r>
          </w:p>
        </w:tc>
        <w:tc>
          <w:tcPr>
            <w:tcW w:w="993" w:type="dxa"/>
            <w:shd w:val="clear" w:color="000000" w:fill="D0CECE"/>
            <w:vAlign w:val="center"/>
            <w:hideMark/>
          </w:tcPr>
          <w:p w:rsidR="00782249" w:rsidRPr="00420119" w:rsidRDefault="00782249" w:rsidP="007822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</w:pPr>
            <w:r w:rsidRPr="00F16BD5"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  <w:t>ANNUAL ESTIMATED UNITS</w:t>
            </w:r>
          </w:p>
        </w:tc>
        <w:tc>
          <w:tcPr>
            <w:tcW w:w="1275" w:type="dxa"/>
            <w:shd w:val="clear" w:color="000000" w:fill="D0CECE"/>
            <w:vAlign w:val="center"/>
            <w:hideMark/>
          </w:tcPr>
          <w:p w:rsidR="00782249" w:rsidRPr="00782249" w:rsidRDefault="00782249" w:rsidP="007822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</w:pPr>
            <w:r w:rsidRPr="00782249"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  <w:t>MAXIMUM UNIT PRICE, VAT EXCLUDED</w:t>
            </w:r>
          </w:p>
        </w:tc>
        <w:tc>
          <w:tcPr>
            <w:tcW w:w="1134" w:type="dxa"/>
            <w:shd w:val="clear" w:color="000000" w:fill="D0CECE"/>
            <w:vAlign w:val="center"/>
            <w:hideMark/>
          </w:tcPr>
          <w:p w:rsidR="00782249" w:rsidRPr="00782249" w:rsidRDefault="00782249" w:rsidP="007822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</w:pPr>
            <w:r w:rsidRPr="00782249"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  <w:t>UNIT PRICE OFFERED VAT EXCLUDED</w:t>
            </w:r>
          </w:p>
        </w:tc>
        <w:tc>
          <w:tcPr>
            <w:tcW w:w="1276" w:type="dxa"/>
            <w:shd w:val="clear" w:color="000000" w:fill="D0CECE"/>
          </w:tcPr>
          <w:p w:rsidR="00782249" w:rsidRPr="00782249" w:rsidRDefault="00782249" w:rsidP="007822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</w:pPr>
          </w:p>
          <w:p w:rsidR="00782249" w:rsidRPr="00782249" w:rsidRDefault="00782249" w:rsidP="007822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</w:pPr>
            <w:r w:rsidRPr="00782249"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  <w:t>PRICE OFFERED</w:t>
            </w:r>
          </w:p>
          <w:p w:rsidR="00782249" w:rsidRPr="00782249" w:rsidRDefault="00782249" w:rsidP="007822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</w:pPr>
            <w:r w:rsidRPr="00782249"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  <w:t xml:space="preserve"> (of the total Products)</w:t>
            </w:r>
          </w:p>
          <w:p w:rsidR="00782249" w:rsidRPr="00420119" w:rsidRDefault="00782249" w:rsidP="007822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</w:pPr>
            <w:r w:rsidRPr="00F16BD5"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  <w:t>VAT EXCLUDED</w:t>
            </w:r>
          </w:p>
        </w:tc>
        <w:tc>
          <w:tcPr>
            <w:tcW w:w="1271" w:type="dxa"/>
            <w:shd w:val="clear" w:color="000000" w:fill="D0CECE"/>
          </w:tcPr>
          <w:p w:rsidR="00782249" w:rsidRPr="00782249" w:rsidRDefault="00782249" w:rsidP="007822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</w:pPr>
          </w:p>
          <w:p w:rsidR="00782249" w:rsidRPr="00420119" w:rsidRDefault="00782249" w:rsidP="0078224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2"/>
                <w:lang w:eastAsia="ca-ES"/>
              </w:rPr>
            </w:pPr>
            <w:r w:rsidRPr="00782249"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  <w:t>OFFERED PRICE (of the total Products) VAT INCLUDED</w:t>
            </w: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Simoa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Discs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648,00 €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 Disc Kit for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Simoa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HD</w:t>
            </w:r>
            <w:r>
              <w:rPr>
                <w:rFonts w:ascii="Cambria Math" w:hAnsi="Cambria Math" w:cs="Arial"/>
                <w:color w:val="000000"/>
                <w:sz w:val="22"/>
                <w:szCs w:val="22"/>
              </w:rPr>
              <w:t>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865,00 €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73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Simoa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Cuvettes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Bulk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Pack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540,00 €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Conductive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Tips for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Simoa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HD</w:t>
            </w:r>
            <w:r>
              <w:rPr>
                <w:rFonts w:ascii="Cambria Math" w:hAnsi="Cambria Math" w:cs="Arial"/>
                <w:color w:val="000000"/>
                <w:sz w:val="22"/>
                <w:szCs w:val="22"/>
              </w:rPr>
              <w:t>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Analyzer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454,00 €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Conical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Well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Plates for HD</w:t>
            </w:r>
            <w:r>
              <w:rPr>
                <w:rFonts w:ascii="Cambria Math" w:hAnsi="Cambria Math" w:cs="Arial"/>
                <w:color w:val="000000"/>
                <w:sz w:val="22"/>
                <w:szCs w:val="22"/>
              </w:rPr>
              <w:t>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SR</w:t>
            </w:r>
            <w:r>
              <w:rPr>
                <w:rFonts w:ascii="Cambria Math" w:hAnsi="Cambria Math" w:cs="Arial"/>
                <w:color w:val="000000"/>
                <w:sz w:val="22"/>
                <w:szCs w:val="22"/>
              </w:rPr>
              <w:t>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X (20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pack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173,00 €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Reagent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Bottle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Pack for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Simoa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HD</w:t>
            </w:r>
            <w:r>
              <w:rPr>
                <w:rFonts w:ascii="Cambria Math" w:hAnsi="Cambria Math" w:cs="Arial"/>
                <w:color w:val="000000"/>
                <w:sz w:val="22"/>
                <w:szCs w:val="22"/>
              </w:rPr>
              <w:t>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Analyzer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108,00 €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Simoa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HD</w:t>
            </w:r>
            <w:r>
              <w:rPr>
                <w:rFonts w:ascii="Cambria Math" w:hAnsi="Cambria Math" w:cs="Arial"/>
                <w:color w:val="000000"/>
                <w:sz w:val="22"/>
                <w:szCs w:val="22"/>
              </w:rPr>
              <w:t>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Sealing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Oil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897,00 €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 SQT Kit for HD</w:t>
            </w:r>
            <w:r>
              <w:rPr>
                <w:rFonts w:ascii="Cambria Math" w:hAnsi="Cambria Math" w:cs="Arial"/>
                <w:color w:val="000000"/>
                <w:sz w:val="22"/>
                <w:szCs w:val="22"/>
              </w:rPr>
              <w:t>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Analyzer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SQT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173,00 €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9. System Buffer 1&amp;2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Combo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Pack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167,00 €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 10. System Buffer 1 (2</w:t>
            </w:r>
            <w:r>
              <w:rPr>
                <w:rFonts w:ascii="Cambria Math" w:hAnsi="Cambria Math" w:cs="Arial"/>
                <w:color w:val="000000"/>
                <w:sz w:val="22"/>
                <w:szCs w:val="22"/>
              </w:rPr>
              <w:t>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Pack)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189,00 €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 System Buffer 2 (2</w:t>
            </w:r>
            <w:r>
              <w:rPr>
                <w:rFonts w:ascii="Cambria Math" w:hAnsi="Cambria Math" w:cs="Arial"/>
                <w:color w:val="000000"/>
                <w:sz w:val="22"/>
                <w:szCs w:val="22"/>
              </w:rPr>
              <w:t>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Pack)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151,00 €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12. SIMOA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bead-based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advantage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assays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1.000,00 €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</w:tcPr>
          <w:p w:rsidR="00782249" w:rsidRPr="00782249" w:rsidRDefault="00782249" w:rsidP="007822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13. SIMOA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multiplex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bead-based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advantage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assays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249" w:rsidRPr="0023359D" w:rsidRDefault="00782249" w:rsidP="007822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2249" w:rsidRPr="0023359D" w:rsidRDefault="00782249" w:rsidP="007822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2.000,00 €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</w:tcPr>
          <w:p w:rsidR="00782249" w:rsidRPr="00782249" w:rsidRDefault="00782249" w:rsidP="007822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14.SIMOA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bead-based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discovery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assays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1.000,00 €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</w:tcPr>
          <w:p w:rsidR="00782249" w:rsidRPr="00782249" w:rsidRDefault="00782249" w:rsidP="007822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15. SIMOA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bead-based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sample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detector diluents.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324,00 €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</w:tcPr>
          <w:p w:rsidR="00782249" w:rsidRPr="00782249" w:rsidRDefault="00782249" w:rsidP="007822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16. SIMOA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bead-based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homebrew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reagents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consumables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540,00 €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</w:tcPr>
          <w:p w:rsidR="00782249" w:rsidRPr="00782249" w:rsidRDefault="00782249" w:rsidP="007822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17.SIMOA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bead-based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homebrew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assay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developments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kits.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2249" w:rsidRPr="0023359D" w:rsidRDefault="00782249" w:rsidP="0078224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59D">
              <w:rPr>
                <w:rFonts w:ascii="Arial" w:hAnsi="Arial" w:cs="Arial"/>
                <w:color w:val="FF0000"/>
                <w:sz w:val="22"/>
                <w:szCs w:val="22"/>
              </w:rPr>
              <w:t>2.054,00 €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39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49" w:rsidRPr="00A33FC1" w:rsidRDefault="00782249" w:rsidP="00782249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49" w:rsidRPr="00A33FC1" w:rsidRDefault="00782249" w:rsidP="00782249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000000" w:fill="D0CECE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000000" w:fill="D0CECE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</w:tr>
    </w:tbl>
    <w:p w:rsidR="00782249" w:rsidRDefault="00782249" w:rsidP="00782249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782249" w:rsidRDefault="00782249" w:rsidP="00782249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4678A3" w:rsidRDefault="004678A3" w:rsidP="004678A3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4678A3" w:rsidRDefault="004678A3" w:rsidP="004678A3">
      <w:pPr>
        <w:rPr>
          <w:rFonts w:ascii="Arial" w:hAnsi="Arial" w:cs="Arial"/>
          <w:lang w:val="en-GB"/>
        </w:rPr>
      </w:pPr>
    </w:p>
    <w:p w:rsidR="004678A3" w:rsidRDefault="004678A3" w:rsidP="004678A3">
      <w:pPr>
        <w:rPr>
          <w:rFonts w:ascii="Arial" w:hAnsi="Arial" w:cs="Arial"/>
          <w:lang w:val="en-GB"/>
        </w:rPr>
      </w:pPr>
    </w:p>
    <w:p w:rsidR="004678A3" w:rsidRPr="00AB2280" w:rsidRDefault="004678A3" w:rsidP="004678A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 and stamp of the bidding company</w:t>
      </w:r>
    </w:p>
    <w:p w:rsidR="004678A3" w:rsidRDefault="004678A3" w:rsidP="004678A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GB"/>
        </w:rPr>
      </w:pPr>
    </w:p>
    <w:p w:rsidR="004678A3" w:rsidRDefault="004678A3" w:rsidP="004678A3">
      <w:pPr>
        <w:pStyle w:val="Sangradetextonormal"/>
        <w:ind w:left="0" w:firstLine="0"/>
        <w:rPr>
          <w:rFonts w:ascii="Arial" w:hAnsi="Arial" w:cs="Arial"/>
          <w:i/>
          <w:szCs w:val="22"/>
          <w:lang w:val="en-GB"/>
        </w:rPr>
      </w:pPr>
    </w:p>
    <w:p w:rsidR="004678A3" w:rsidRDefault="004678A3" w:rsidP="004678A3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</w:p>
    <w:p w:rsidR="004678A3" w:rsidRDefault="004678A3" w:rsidP="004678A3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Validity of the bid............................4 months</w:t>
      </w:r>
    </w:p>
    <w:p w:rsidR="004678A3" w:rsidRDefault="004678A3" w:rsidP="004678A3">
      <w:pPr>
        <w:pStyle w:val="Sangradetextonormal"/>
        <w:ind w:left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(bids for a value and/or period of time greater than that of the invitation to tender shall be excluded from the procedure)</w:t>
      </w:r>
    </w:p>
    <w:p w:rsidR="004678A3" w:rsidRPr="00AB2280" w:rsidRDefault="004678A3" w:rsidP="004678A3">
      <w:pPr>
        <w:rPr>
          <w:lang w:val="en-GB"/>
        </w:rPr>
      </w:pPr>
    </w:p>
    <w:p w:rsidR="00A40776" w:rsidRPr="004678A3" w:rsidRDefault="00A40776" w:rsidP="004678A3"/>
    <w:sectPr w:rsidR="00A40776" w:rsidRPr="004678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23359D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73346193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         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0A1391" w:rsidRDefault="004678A3" w:rsidP="004678A3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</w:t>
    </w:r>
    <w:proofErr w:type="spellStart"/>
    <w:r>
      <w:rPr>
        <w:rFonts w:ascii="Arial" w:hAnsi="Arial" w:cs="Arial"/>
        <w:sz w:val="16"/>
        <w:szCs w:val="22"/>
      </w:rPr>
      <w:t>Telephone</w:t>
    </w:r>
    <w:proofErr w:type="spellEnd"/>
    <w:r>
      <w:rPr>
        <w:rFonts w:ascii="Arial" w:hAnsi="Arial" w:cs="Arial"/>
        <w:sz w:val="16"/>
        <w:szCs w:val="22"/>
      </w:rPr>
      <w:t>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23359D"/>
    <w:rsid w:val="004678A3"/>
    <w:rsid w:val="00782249"/>
    <w:rsid w:val="00A40776"/>
    <w:rsid w:val="00BC21E2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83FE30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Pribac Pernalete, Ivana Andrea</cp:lastModifiedBy>
  <cp:revision>5</cp:revision>
  <dcterms:created xsi:type="dcterms:W3CDTF">2020-12-17T10:58:00Z</dcterms:created>
  <dcterms:modified xsi:type="dcterms:W3CDTF">2021-01-28T12:36:00Z</dcterms:modified>
</cp:coreProperties>
</file>